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贵州医科大学第二附属医院（翁义病区）排污许可证自行监测方案</w:t>
      </w: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15"/>
        <w:gridCol w:w="2715"/>
        <w:gridCol w:w="615"/>
        <w:gridCol w:w="2070"/>
        <w:gridCol w:w="405"/>
        <w:gridCol w:w="70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5" w:type="dxa"/>
          </w:tcPr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监测类别</w:t>
            </w:r>
          </w:p>
        </w:tc>
        <w:tc>
          <w:tcPr>
            <w:tcW w:w="271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ind w:firstLine="542" w:firstLineChars="30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61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检测位置</w:t>
            </w:r>
          </w:p>
        </w:tc>
        <w:tc>
          <w:tcPr>
            <w:tcW w:w="2070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ind w:firstLine="181" w:firstLineChars="10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参照执行标准</w:t>
            </w:r>
          </w:p>
        </w:tc>
        <w:tc>
          <w:tcPr>
            <w:tcW w:w="405" w:type="dxa"/>
          </w:tcPr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监测方式</w:t>
            </w:r>
          </w:p>
        </w:tc>
        <w:tc>
          <w:tcPr>
            <w:tcW w:w="705" w:type="dxa"/>
          </w:tcPr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035" w:type="dxa"/>
          </w:tcPr>
          <w:p>
            <w:pPr>
              <w:bidi w:val="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ind w:left="211" w:hanging="181" w:hangingChars="100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监测要求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贵州医科大学第二附属医院（翁义病区）污水站</w:t>
            </w:r>
          </w:p>
        </w:tc>
        <w:tc>
          <w:tcPr>
            <w:tcW w:w="71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废气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1. 废水总排水口水质；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（1）周检测（52）；COD,SS,PH,流量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（2）月检测（12）；粪大肠菌群；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2.季度检测（4季度）；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（1）废水总排水口水（DW002）；COD，BOD5，SS，LAS，PH，粪大肠菌群，流量，石油类，动植物油，挥发酚，总氰化物，色度，氨氮，总余氯；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（2）检验科废水排放口水质（DW002）总汞、总镉、总铬、六价铬、总砷、总铅；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（3）病理科废水排放口水质（DW003）总汞、总镉、总铬、六价铬、总砷、总铅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(4)污水站厂界四周废气；甲烷，臭气浓度、氨（氨气）、硫化氢；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（5）厂界噪声；昼夜各一次；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3，年度检测（年度）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（1）医疗废水排放口（DA005）PH，COD，溶解性总固体，氨氮，悬浮物，流量；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（2）锅炉废气排放口（DA001）二氧化硫，林格漫黑度，氮氧化物（1月/1次）</w:t>
            </w:r>
          </w:p>
        </w:tc>
        <w:tc>
          <w:tcPr>
            <w:tcW w:w="61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70" w:type="dxa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1；废水总棑口，检验科，病理科水质；《医疗机构污染物排放标准》（GB18466-2005）表2预处理标准；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2；医疗废水排放口水质；《污水综合排放标准》（GB8978-1996）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3；厂周界废气；《医疗机构水污染物排放标准》（GB18466-2005）表3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4；锅炉废气；《锅炉大气污染物排放标准》（GB13271-2014）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4.噪声：《工业企业厂界环境噪声排放标准》（GB12348-2008) 2</w:t>
            </w:r>
          </w:p>
        </w:tc>
        <w:tc>
          <w:tcPr>
            <w:tcW w:w="405" w:type="dxa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场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</w:t>
            </w:r>
          </w:p>
        </w:tc>
        <w:tc>
          <w:tcPr>
            <w:tcW w:w="705" w:type="dxa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季度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年度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1天3次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周界废气：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1天3次，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噪声：</w:t>
            </w: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昼夜各一次，4个方</w:t>
            </w:r>
          </w:p>
        </w:tc>
      </w:tr>
    </w:tbl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ind w:firstLine="786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WZlYjRkNGQ4NGNjZWQ0ZjNjZTQ4YWI0NjAwYTMifQ=="/>
  </w:docVars>
  <w:rsids>
    <w:rsidRoot w:val="5AB82E3C"/>
    <w:rsid w:val="0463402B"/>
    <w:rsid w:val="27980385"/>
    <w:rsid w:val="5AB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bCs/>
      <w:color w:val="FF0000"/>
      <w:sz w:val="16"/>
      <w:szCs w:val="16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1">
    <w:name w:val="font9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2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690</Characters>
  <Lines>0</Lines>
  <Paragraphs>0</Paragraphs>
  <TotalTime>4</TotalTime>
  <ScaleCrop>false</ScaleCrop>
  <LinksUpToDate>false</LinksUpToDate>
  <CharactersWithSpaces>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2023-03-22T00:56:00Z</dcterms:created>
  <dc:creator>心中的太阳</dc:creator>
  <cp:lastModifiedBy>张强</cp:lastModifiedBy>
  <dcterms:modified xsi:type="dcterms:W3CDTF">2023-05-04T07:58:59Z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FA56847183984B82981FD8572CE2D32C_13</vt:lpwstr>
  </property>
</Properties>
</file>