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门体内部需用特制钢质结构，门板需用不小于1.2mm 钢板喷涂或热转印木纹技术，整体结构坚固耐用、美观大方。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门体制作工艺需采用无焊接、无螺钉，一次性热压成型，保证铅屏风的整体性和平整度，在不小于 200kg 的外力作用下不变形。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屏风防护层需用纯度不小于 99.998%的 1#电解铅板，底部采用优质万象轮，方便移动，轻便。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铅当量：3个铅当量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严格按照国家 GB18871-2002 《电离辐射防护与辐射源安全基本标准》，《卫生部射线防护器材防护质量监测中心标准》执行。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样式一：屏风为三联、尺寸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不小于2000mm*18000mm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        铅玻璃</w:t>
      </w: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尺寸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不小于800mm*600mm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样式二：屏风为三联、尺寸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不小于2000mm*18000mm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 xml:space="preserve">         铅玻璃</w:t>
      </w:r>
      <w:r>
        <w:rPr>
          <w:rFonts w:hint="eastAsia" w:ascii="宋体" w:hAnsi="宋体" w:eastAsia="宋体" w:cs="宋体"/>
          <w:color w:val="333333"/>
          <w:kern w:val="0"/>
          <w:sz w:val="31"/>
          <w:szCs w:val="31"/>
          <w:lang w:val="en-US" w:eastAsia="zh-CN" w:bidi="ar"/>
        </w:rPr>
        <w:t>尺寸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不小于300mm*400mm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1A522B18"/>
    <w:rsid w:val="1E5160E2"/>
    <w:rsid w:val="449200C4"/>
    <w:rsid w:val="574E08FC"/>
    <w:rsid w:val="67950ECC"/>
    <w:rsid w:val="765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2024-01-15T09:37:00Z</dcterms:created>
  <dc:creator>Administrator</dc:creator>
  <cp:lastModifiedBy>溢洋</cp:lastModifiedBy>
  <dcterms:modified xsi:type="dcterms:W3CDTF">2024-01-15T09:52:47Z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2971BB46137A418AB615822910F27782_12</vt:lpwstr>
  </property>
</Properties>
</file>