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Hlk142310635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干式荧光免疫分析仪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过敏原特异性抗体测定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仪）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技术要求</w:t>
      </w:r>
      <w:bookmarkStart w:id="1" w:name="_GoBack"/>
      <w:bookmarkEnd w:id="1"/>
    </w:p>
    <w:bookmarkEnd w:id="0"/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40"/>
          <w:szCs w:val="40"/>
          <w:lang w:val="en-US" w:eastAsia="zh-CN" w:bidi="ar-SA"/>
        </w:rPr>
        <w:t xml:space="preserve">     </w:t>
      </w:r>
      <w:r>
        <w:rPr>
          <w:rFonts w:hint="eastAsia" w:ascii="微软雅黑" w:hAnsi="微软雅黑" w:eastAsia="微软雅黑" w:cs="微软雅黑"/>
          <w:color w:val="000000"/>
          <w:kern w:val="2"/>
          <w:sz w:val="22"/>
          <w:szCs w:val="2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1、检测通道：单通道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2、检测原理：干式荧光免疫法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3、检测性质：定量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4、样本类型：血清/血浆、全血，可在仪器界面选择样本类型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5、检测速度：单次检测耗时&lt;10s(不算孵育时间)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6、检测项目：食物特异性IgG抗体检测（量子点免疫层析法）、过敏原特异性IgE抗体检测（量子点免疫荧光法）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7、检测方式：支持一卡多项检测(最多可以支持5项)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8、定标曲线：定标曲线存储在ID卡；荧光信号算法内置于用户实验软件。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9、显示屏：7英寸触摸屏(分辨率在800X480以上)；结果存储：&gt;10000个；打印机：内置热敏打印机，58mm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10、结果查询：可按照样本编号、时间、项目查询结果，结果可删除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11、结果传输：4G(以用户最终选择为主),USB2.0,RS232C,wifi(以用户最终选择为主), 以太网络，支持LIS、HIS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12、软件管理：自动进卡、自动弃卡、内置自动条码扫描功能、自动识别项目ID和项目信息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266C2BE6"/>
    <w:rsid w:val="4404307B"/>
    <w:rsid w:val="65A2097C"/>
    <w:rsid w:val="78554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1180</Words>
  <Characters>1385</Characters>
  <Lines>2</Lines>
  <Paragraphs>1</Paragraphs>
  <TotalTime>0</TotalTime>
  <ScaleCrop>false</ScaleCrop>
  <LinksUpToDate>false</LinksUpToDate>
  <CharactersWithSpaces>1404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2023-08-09T06:51:00Z</dcterms:created>
  <dc:creator>成雨 李</dc:creator>
  <cp:lastModifiedBy>溢洋</cp:lastModifiedBy>
  <dcterms:modified xsi:type="dcterms:W3CDTF">2024-04-12T04:17:12Z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6E91F9B7A679E0779C521766493398B1_33</vt:lpwstr>
  </property>
</Properties>
</file>